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F7" w:rsidRDefault="004608F7" w:rsidP="004608F7">
      <w:pPr>
        <w:jc w:val="center"/>
        <w:rPr>
          <w:b/>
          <w:bCs/>
        </w:rPr>
      </w:pPr>
      <w:r>
        <w:rPr>
          <w:b/>
          <w:bCs/>
        </w:rPr>
        <w:t>INTERNATIONAL CIVIL LITIGATION</w:t>
      </w:r>
    </w:p>
    <w:p w:rsidR="004608F7" w:rsidRDefault="004608F7" w:rsidP="004608F7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4608F7" w:rsidRDefault="009B6524" w:rsidP="004608F7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4608F7" w:rsidRDefault="004608F7" w:rsidP="004608F7">
      <w:pPr>
        <w:jc w:val="center"/>
        <w:rPr>
          <w:b/>
          <w:bCs/>
        </w:rPr>
      </w:pPr>
    </w:p>
    <w:p w:rsidR="004608F7" w:rsidRDefault="004608F7" w:rsidP="004608F7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4608F7" w:rsidRDefault="004608F7" w:rsidP="004608F7">
      <w:pPr>
        <w:jc w:val="center"/>
        <w:rPr>
          <w:b/>
          <w:bCs/>
        </w:rPr>
      </w:pPr>
      <w:r>
        <w:rPr>
          <w:b/>
          <w:bCs/>
        </w:rPr>
        <w:t xml:space="preserve">Part 3 – Applicable Law in Transnational Cases </w:t>
      </w:r>
    </w:p>
    <w:p w:rsidR="004608F7" w:rsidRDefault="004608F7" w:rsidP="004608F7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4608F7" w:rsidRDefault="004608F7" w:rsidP="004608F7">
      <w:pPr>
        <w:jc w:val="center"/>
        <w:rPr>
          <w:b/>
          <w:bCs/>
        </w:rPr>
      </w:pPr>
    </w:p>
    <w:p w:rsidR="004608F7" w:rsidRDefault="004608F7" w:rsidP="004608F7">
      <w:pPr>
        <w:rPr>
          <w:bCs/>
        </w:rPr>
      </w:pPr>
      <w:r w:rsidRPr="003212D1">
        <w:rPr>
          <w:bCs/>
        </w:rPr>
        <w:t>[</w:t>
      </w: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r>
        <w:rPr>
          <w:bCs/>
        </w:rPr>
        <w:t xml:space="preserve">Childress, Ramsey &amp; </w:t>
      </w:r>
      <w:proofErr w:type="spellStart"/>
      <w:r>
        <w:rPr>
          <w:bCs/>
        </w:rPr>
        <w:t>Whytock</w:t>
      </w:r>
      <w:proofErr w:type="spellEnd"/>
      <w:r w:rsidRPr="00801A22">
        <w:rPr>
          <w:bCs/>
        </w:rPr>
        <w:t xml:space="preserve">, </w:t>
      </w:r>
      <w:r>
        <w:rPr>
          <w:bCs/>
          <w:i/>
        </w:rPr>
        <w:t>Transnational Law and Practice</w:t>
      </w:r>
      <w:r w:rsidRPr="00801A22">
        <w:rPr>
          <w:bCs/>
        </w:rPr>
        <w:t xml:space="preserve"> </w:t>
      </w:r>
      <w:r>
        <w:rPr>
          <w:bCs/>
        </w:rPr>
        <w:t xml:space="preserve">(2d ed. </w:t>
      </w:r>
      <w:r w:rsidRPr="00801A22">
        <w:rPr>
          <w:bCs/>
        </w:rPr>
        <w:t>20</w:t>
      </w:r>
      <w:r>
        <w:rPr>
          <w:bCs/>
        </w:rPr>
        <w:t xml:space="preserve">21)) or if designated as “in the supplement” they refer to the </w:t>
      </w:r>
      <w:proofErr w:type="gramStart"/>
      <w:r>
        <w:rPr>
          <w:bCs/>
        </w:rPr>
        <w:t>Fall</w:t>
      </w:r>
      <w:proofErr w:type="gramEnd"/>
      <w:r>
        <w:rPr>
          <w:bCs/>
        </w:rPr>
        <w:t xml:space="preserve"> 2023 Supplement to the casebook, available for download at </w:t>
      </w:r>
      <w:hyperlink r:id="rId8" w:history="1">
        <w:r w:rsidRPr="00600C29">
          <w:rPr>
            <w:rStyle w:val="Hyperlink"/>
          </w:rPr>
          <w:t>https://papers.ssrn.com/sol3/papers.cfm?abstract_id=4178684</w:t>
        </w:r>
      </w:hyperlink>
      <w:r>
        <w:t>].</w:t>
      </w:r>
    </w:p>
    <w:p w:rsidR="004608F7" w:rsidRDefault="004608F7" w:rsidP="004608F7">
      <w:pPr>
        <w:jc w:val="center"/>
        <w:rPr>
          <w:b/>
          <w:bCs/>
        </w:rPr>
      </w:pPr>
    </w:p>
    <w:p w:rsidR="004608F7" w:rsidRDefault="004608F7" w:rsidP="004608F7">
      <w:pPr>
        <w:jc w:val="center"/>
        <w:rPr>
          <w:b/>
          <w:bCs/>
        </w:rPr>
      </w:pPr>
    </w:p>
    <w:p w:rsidR="004608F7" w:rsidRDefault="004608F7" w:rsidP="004608F7">
      <w:r>
        <w:t>I.</w:t>
      </w:r>
      <w:r>
        <w:tab/>
        <w:t>U.S. Federal Laws in Transnational Cases</w:t>
      </w:r>
    </w:p>
    <w:p w:rsidR="004608F7" w:rsidRDefault="004608F7" w:rsidP="004608F7"/>
    <w:p w:rsidR="004608F7" w:rsidRDefault="004608F7" w:rsidP="004608F7">
      <w:r>
        <w:tab/>
        <w:t xml:space="preserve">A. </w:t>
      </w:r>
      <w:r>
        <w:tab/>
        <w:t>Introduction:  pp. 1-6</w:t>
      </w:r>
    </w:p>
    <w:p w:rsidR="004608F7" w:rsidRDefault="004608F7" w:rsidP="004608F7">
      <w:pPr>
        <w:ind w:left="1440" w:hanging="720"/>
      </w:pPr>
      <w:r>
        <w:t xml:space="preserve">B.  </w:t>
      </w:r>
      <w:r>
        <w:tab/>
        <w:t>The presumption against extraterritoriality:  pp. 6-33 (</w:t>
      </w:r>
      <w:r w:rsidRPr="00D0205F">
        <w:rPr>
          <w:i/>
        </w:rPr>
        <w:t>EEOC v. Arabian American Oil C</w:t>
      </w:r>
      <w:bookmarkStart w:id="0" w:name="_GoBack"/>
      <w:bookmarkEnd w:id="0"/>
      <w:r w:rsidRPr="00D0205F">
        <w:rPr>
          <w:i/>
        </w:rPr>
        <w:t>o.</w:t>
      </w:r>
      <w:r>
        <w:t xml:space="preserve"> and </w:t>
      </w:r>
      <w:r w:rsidRPr="003D62BF">
        <w:rPr>
          <w:i/>
        </w:rPr>
        <w:t>Morrison v. National Australia Bank</w:t>
      </w:r>
      <w:r>
        <w:t>)</w:t>
      </w:r>
    </w:p>
    <w:p w:rsidR="004608F7" w:rsidRPr="000C2591" w:rsidRDefault="004608F7" w:rsidP="004608F7">
      <w:pPr>
        <w:ind w:left="1440" w:hanging="720"/>
      </w:pPr>
      <w:r>
        <w:t xml:space="preserve">C. </w:t>
      </w:r>
      <w:r>
        <w:tab/>
      </w:r>
      <w:r w:rsidRPr="003E6969">
        <w:rPr>
          <w:i/>
        </w:rPr>
        <w:t>RJR Nabisco v. European Community</w:t>
      </w:r>
      <w:r>
        <w:t>, pp. 34-48</w:t>
      </w:r>
      <w:r w:rsidR="000C2591">
        <w:t xml:space="preserve">, plus the </w:t>
      </w:r>
      <w:proofErr w:type="spellStart"/>
      <w:r w:rsidR="000C2591" w:rsidRPr="000C2591">
        <w:rPr>
          <w:i/>
        </w:rPr>
        <w:t>Abitron</w:t>
      </w:r>
      <w:proofErr w:type="spellEnd"/>
      <w:r w:rsidR="000C2591">
        <w:t xml:space="preserve"> and </w:t>
      </w:r>
      <w:proofErr w:type="spellStart"/>
      <w:r w:rsidR="000C2591">
        <w:rPr>
          <w:i/>
          <w:iCs/>
        </w:rPr>
        <w:t>Yegiazaryan</w:t>
      </w:r>
      <w:proofErr w:type="spellEnd"/>
      <w:r w:rsidR="009B6524">
        <w:rPr>
          <w:iCs/>
        </w:rPr>
        <w:t xml:space="preserve"> cases on pp. 2-4</w:t>
      </w:r>
      <w:r w:rsidR="000C2591">
        <w:rPr>
          <w:iCs/>
        </w:rPr>
        <w:t xml:space="preserve"> of the supplement</w:t>
      </w:r>
    </w:p>
    <w:p w:rsidR="004608F7" w:rsidRDefault="004608F7" w:rsidP="004608F7">
      <w:pPr>
        <w:ind w:left="1440" w:hanging="720"/>
      </w:pPr>
      <w:r>
        <w:t xml:space="preserve">D. </w:t>
      </w:r>
      <w:r>
        <w:tab/>
        <w:t>Jurisdiction to prescribe under international law:  pp. 48-57</w:t>
      </w:r>
    </w:p>
    <w:p w:rsidR="004608F7" w:rsidRPr="00F23320" w:rsidRDefault="00D76D26" w:rsidP="004608F7">
      <w:pPr>
        <w:ind w:left="1440" w:hanging="720"/>
      </w:pPr>
      <w:r>
        <w:t>E</w:t>
      </w:r>
      <w:r w:rsidR="004608F7">
        <w:t xml:space="preserve">.  </w:t>
      </w:r>
      <w:r w:rsidR="004608F7">
        <w:tab/>
        <w:t>Extraterritoriality – further considerations:  pp. 58-78 (</w:t>
      </w:r>
      <w:r w:rsidR="004608F7" w:rsidRPr="009F18D7">
        <w:rPr>
          <w:i/>
        </w:rPr>
        <w:t>Hartford Fire</w:t>
      </w:r>
      <w:r w:rsidR="004608F7">
        <w:rPr>
          <w:i/>
        </w:rPr>
        <w:t>,</w:t>
      </w:r>
      <w:r w:rsidR="004608F7">
        <w:t xml:space="preserve"> </w:t>
      </w:r>
      <w:proofErr w:type="spellStart"/>
      <w:r w:rsidR="004608F7" w:rsidRPr="00F23320">
        <w:rPr>
          <w:i/>
        </w:rPr>
        <w:t>Empagran</w:t>
      </w:r>
      <w:proofErr w:type="spellEnd"/>
      <w:r w:rsidR="004608F7" w:rsidRPr="00F23320">
        <w:t xml:space="preserve"> and </w:t>
      </w:r>
      <w:r w:rsidR="004608F7">
        <w:t>related notes)</w:t>
      </w:r>
    </w:p>
    <w:p w:rsidR="004608F7" w:rsidRDefault="004608F7" w:rsidP="004608F7">
      <w:pPr>
        <w:ind w:firstLine="720"/>
      </w:pPr>
    </w:p>
    <w:p w:rsidR="004608F7" w:rsidRDefault="004608F7" w:rsidP="004608F7">
      <w:r>
        <w:t>II.</w:t>
      </w:r>
      <w:r>
        <w:tab/>
        <w:t>State Law and Foreign Law in Transnational Cases</w:t>
      </w:r>
    </w:p>
    <w:p w:rsidR="004608F7" w:rsidRDefault="004608F7" w:rsidP="004608F7"/>
    <w:p w:rsidR="004608F7" w:rsidRPr="00A120F5" w:rsidRDefault="004608F7" w:rsidP="004608F7">
      <w:pPr>
        <w:numPr>
          <w:ilvl w:val="0"/>
          <w:numId w:val="2"/>
        </w:numPr>
        <w:ind w:left="1440" w:hanging="720"/>
      </w:pPr>
      <w:r>
        <w:t>Choice of law methods: pp. 78-114 (</w:t>
      </w:r>
      <w:proofErr w:type="spellStart"/>
      <w:r w:rsidRPr="00537BF0">
        <w:rPr>
          <w:i/>
        </w:rPr>
        <w:t>Raskin</w:t>
      </w:r>
      <w:proofErr w:type="spellEnd"/>
      <w:r>
        <w:t xml:space="preserve">, </w:t>
      </w:r>
      <w:r w:rsidRPr="00537BF0">
        <w:rPr>
          <w:i/>
        </w:rPr>
        <w:t>Edwards</w:t>
      </w:r>
      <w:r>
        <w:rPr>
          <w:i/>
        </w:rPr>
        <w:t>,</w:t>
      </w:r>
      <w:r>
        <w:t xml:space="preserve"> </w:t>
      </w:r>
      <w:proofErr w:type="spellStart"/>
      <w:r w:rsidRPr="00537BF0">
        <w:rPr>
          <w:i/>
        </w:rPr>
        <w:t>Tucc</w:t>
      </w:r>
      <w:r>
        <w:rPr>
          <w:i/>
        </w:rPr>
        <w:t>i</w:t>
      </w:r>
      <w:proofErr w:type="spellEnd"/>
      <w:r>
        <w:rPr>
          <w:i/>
        </w:rPr>
        <w:t xml:space="preserve">, Ortega </w:t>
      </w:r>
      <w:r>
        <w:t xml:space="preserve">and </w:t>
      </w:r>
      <w:proofErr w:type="spellStart"/>
      <w:r w:rsidRPr="00537BF0">
        <w:rPr>
          <w:i/>
        </w:rPr>
        <w:t>Naghi</w:t>
      </w:r>
      <w:r w:rsidR="00D76D26">
        <w:rPr>
          <w:i/>
        </w:rPr>
        <w:t>u</w:t>
      </w:r>
      <w:proofErr w:type="spellEnd"/>
      <w:r>
        <w:t>)</w:t>
      </w:r>
    </w:p>
    <w:p w:rsidR="004608F7" w:rsidRPr="000C2591" w:rsidRDefault="004608F7" w:rsidP="000C2591">
      <w:pPr>
        <w:pStyle w:val="ListParagraph"/>
        <w:numPr>
          <w:ilvl w:val="0"/>
          <w:numId w:val="2"/>
        </w:numPr>
        <w:ind w:left="1440" w:hanging="720"/>
        <w:rPr>
          <w:iCs/>
        </w:rPr>
      </w:pPr>
      <w:r w:rsidRPr="000C2591">
        <w:rPr>
          <w:iCs/>
        </w:rPr>
        <w:t>Comparative perspective: pp. 114-116</w:t>
      </w:r>
    </w:p>
    <w:p w:rsidR="004608F7" w:rsidRDefault="004608F7" w:rsidP="004608F7">
      <w:pPr>
        <w:numPr>
          <w:ilvl w:val="0"/>
          <w:numId w:val="2"/>
        </w:numPr>
        <w:ind w:left="1440" w:hanging="720"/>
        <w:rPr>
          <w:iCs/>
        </w:rPr>
      </w:pPr>
      <w:r>
        <w:rPr>
          <w:iCs/>
        </w:rPr>
        <w:t>Determining foreign law: pp. 116-127</w:t>
      </w:r>
    </w:p>
    <w:p w:rsidR="004608F7" w:rsidRDefault="004608F7" w:rsidP="000C2591">
      <w:pPr>
        <w:numPr>
          <w:ilvl w:val="0"/>
          <w:numId w:val="2"/>
        </w:numPr>
        <w:ind w:left="1440" w:hanging="720"/>
      </w:pPr>
      <w:r>
        <w:t>Choice of law clauses: pp. 127-146</w:t>
      </w:r>
      <w:r w:rsidR="000C2591">
        <w:t xml:space="preserve">, plus note on </w:t>
      </w:r>
      <w:r w:rsidR="000C2591" w:rsidRPr="000C2591">
        <w:rPr>
          <w:i/>
        </w:rPr>
        <w:t>Great Lakes Insurance</w:t>
      </w:r>
      <w:r w:rsidR="009B6524">
        <w:t xml:space="preserve"> on pp. 7-8</w:t>
      </w:r>
      <w:r w:rsidR="000C2591">
        <w:t xml:space="preserve"> of the supplement</w:t>
      </w:r>
    </w:p>
    <w:p w:rsidR="004608F7" w:rsidRPr="00A120F5" w:rsidRDefault="004608F7" w:rsidP="000C2591">
      <w:pPr>
        <w:numPr>
          <w:ilvl w:val="0"/>
          <w:numId w:val="2"/>
        </w:numPr>
        <w:ind w:left="1440" w:hanging="720"/>
      </w:pPr>
      <w:r>
        <w:t>Review notes and questions: pp. 146-147</w:t>
      </w:r>
    </w:p>
    <w:p w:rsidR="004608F7" w:rsidRDefault="004608F7" w:rsidP="004608F7">
      <w:pPr>
        <w:rPr>
          <w:iCs/>
        </w:rPr>
      </w:pPr>
      <w:r>
        <w:t> </w:t>
      </w:r>
    </w:p>
    <w:p w:rsidR="004608F7" w:rsidRDefault="004608F7" w:rsidP="004608F7">
      <w:pPr>
        <w:rPr>
          <w:iCs/>
        </w:rPr>
      </w:pPr>
      <w:r>
        <w:rPr>
          <w:iCs/>
        </w:rPr>
        <w:t xml:space="preserve">III.  </w:t>
      </w:r>
      <w:r>
        <w:rPr>
          <w:iCs/>
        </w:rPr>
        <w:tab/>
        <w:t>The Act of State Doctrine</w:t>
      </w:r>
    </w:p>
    <w:p w:rsidR="004608F7" w:rsidRDefault="004608F7" w:rsidP="004608F7"/>
    <w:p w:rsidR="004608F7" w:rsidRPr="00857621" w:rsidRDefault="004608F7" w:rsidP="004608F7">
      <w:pPr>
        <w:numPr>
          <w:ilvl w:val="0"/>
          <w:numId w:val="1"/>
        </w:numPr>
      </w:pPr>
      <w:r w:rsidRPr="00857621">
        <w:t xml:space="preserve">Basic principles: pp. </w:t>
      </w:r>
      <w:r>
        <w:t>874-892</w:t>
      </w:r>
      <w:r w:rsidRPr="00857621">
        <w:t xml:space="preserve">, esp. </w:t>
      </w:r>
      <w:proofErr w:type="spellStart"/>
      <w:r w:rsidRPr="00857621">
        <w:rPr>
          <w:i/>
        </w:rPr>
        <w:t>Sabbatino</w:t>
      </w:r>
      <w:proofErr w:type="spellEnd"/>
      <w:r w:rsidRPr="00857621">
        <w:t xml:space="preserve"> and related notes on pp. </w:t>
      </w:r>
      <w:r>
        <w:t>874-882</w:t>
      </w:r>
      <w:r w:rsidR="000C2591">
        <w:t xml:space="preserve">, plus note on </w:t>
      </w:r>
      <w:r w:rsidR="000C2591" w:rsidRPr="000C2591">
        <w:rPr>
          <w:i/>
        </w:rPr>
        <w:t>Celestin</w:t>
      </w:r>
      <w:r w:rsidR="000C2591">
        <w:rPr>
          <w:i/>
        </w:rPr>
        <w:t xml:space="preserve"> </w:t>
      </w:r>
      <w:r w:rsidR="009B6524">
        <w:t>on p. 26</w:t>
      </w:r>
      <w:r w:rsidR="000C2591">
        <w:t xml:space="preserve"> of the supplement</w:t>
      </w:r>
    </w:p>
    <w:p w:rsidR="004608F7" w:rsidRPr="00857621" w:rsidRDefault="004608F7" w:rsidP="004608F7">
      <w:pPr>
        <w:numPr>
          <w:ilvl w:val="0"/>
          <w:numId w:val="1"/>
        </w:numPr>
        <w:rPr>
          <w:bCs/>
        </w:rPr>
      </w:pPr>
      <w:r w:rsidRPr="00857621">
        <w:t xml:space="preserve">Exceptions to the act of state doctrine:  pp. </w:t>
      </w:r>
      <w:r>
        <w:t>892-898</w:t>
      </w:r>
    </w:p>
    <w:p w:rsidR="00F47ED9" w:rsidRDefault="00F47ED9"/>
    <w:sectPr w:rsidR="00F47ED9" w:rsidSect="004608F7">
      <w:footerReference w:type="even" r:id="rId9"/>
      <w:footerReference w:type="default" r:id="rId10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7A" w:rsidRDefault="0089127A">
      <w:r>
        <w:separator/>
      </w:r>
    </w:p>
  </w:endnote>
  <w:endnote w:type="continuationSeparator" w:id="0">
    <w:p w:rsidR="0089127A" w:rsidRDefault="0089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A9" w:rsidRDefault="004608F7" w:rsidP="00D76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1A9" w:rsidRDefault="00891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A9" w:rsidRDefault="0089127A">
    <w:pPr>
      <w:spacing w:line="240" w:lineRule="exact"/>
    </w:pPr>
  </w:p>
  <w:p w:rsidR="00AC21A9" w:rsidRDefault="004608F7" w:rsidP="00D15CDB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B6524">
      <w:rPr>
        <w:noProof/>
      </w:rPr>
      <w:t>1</w:t>
    </w:r>
    <w:r>
      <w:fldChar w:fldCharType="end"/>
    </w:r>
  </w:p>
  <w:p w:rsidR="00AC21A9" w:rsidRDefault="008912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7A" w:rsidRDefault="0089127A">
      <w:r>
        <w:separator/>
      </w:r>
    </w:p>
  </w:footnote>
  <w:footnote w:type="continuationSeparator" w:id="0">
    <w:p w:rsidR="0089127A" w:rsidRDefault="0089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C99"/>
    <w:multiLevelType w:val="hybridMultilevel"/>
    <w:tmpl w:val="8C504F18"/>
    <w:lvl w:ilvl="0" w:tplc="2D4C01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A96544"/>
    <w:multiLevelType w:val="hybridMultilevel"/>
    <w:tmpl w:val="D1006AAA"/>
    <w:lvl w:ilvl="0" w:tplc="A6660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F7"/>
    <w:rsid w:val="000C2591"/>
    <w:rsid w:val="0023613A"/>
    <w:rsid w:val="003E1ADE"/>
    <w:rsid w:val="004608F7"/>
    <w:rsid w:val="00626750"/>
    <w:rsid w:val="006A7557"/>
    <w:rsid w:val="0089127A"/>
    <w:rsid w:val="00906026"/>
    <w:rsid w:val="009B6524"/>
    <w:rsid w:val="00AC0D96"/>
    <w:rsid w:val="00BF79D6"/>
    <w:rsid w:val="00C11988"/>
    <w:rsid w:val="00C75689"/>
    <w:rsid w:val="00D76D26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0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08F7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608F7"/>
  </w:style>
  <w:style w:type="character" w:styleId="Hyperlink">
    <w:name w:val="Hyperlink"/>
    <w:uiPriority w:val="99"/>
    <w:unhideWhenUsed/>
    <w:rsid w:val="00460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0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08F7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608F7"/>
  </w:style>
  <w:style w:type="character" w:styleId="Hyperlink">
    <w:name w:val="Hyperlink"/>
    <w:uiPriority w:val="99"/>
    <w:unhideWhenUsed/>
    <w:rsid w:val="00460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178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2025-02-11T22:08:00Z</dcterms:created>
  <dcterms:modified xsi:type="dcterms:W3CDTF">2025-02-11T22:08:00Z</dcterms:modified>
</cp:coreProperties>
</file>